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0" w:firstLineChars="0"/>
        <w:rPr>
          <w:rFonts w:ascii="仿宋" w:hAnsi="仿宋" w:eastAsia="仿宋"/>
          <w:sz w:val="32"/>
          <w:szCs w:val="32"/>
        </w:rPr>
      </w:pPr>
    </w:p>
    <w:p/>
    <w:p>
      <w:pPr>
        <w:pStyle w:val="2"/>
        <w:rPr>
          <w:lang w:bidi="ar"/>
        </w:rPr>
      </w:pPr>
    </w:p>
    <w:p>
      <w:pPr>
        <w:widowControl/>
        <w:jc w:val="center"/>
        <w:rPr>
          <w:rFonts w:ascii="黑体" w:hAnsi="宋体" w:eastAsia="黑体" w:cs="黑体"/>
          <w:color w:val="000000"/>
          <w:kern w:val="0"/>
          <w:sz w:val="52"/>
          <w:szCs w:val="52"/>
          <w:lang w:bidi="ar"/>
        </w:rPr>
      </w:pPr>
      <w:r>
        <w:rPr>
          <w:rFonts w:hint="eastAsia" w:ascii="黑体" w:hAnsi="宋体" w:eastAsia="黑体" w:cs="黑体"/>
          <w:color w:val="000000"/>
          <w:kern w:val="0"/>
          <w:sz w:val="52"/>
          <w:szCs w:val="52"/>
          <w:lang w:bidi="ar"/>
        </w:rPr>
        <w:t>滁州学院真实项目案例库</w:t>
      </w:r>
    </w:p>
    <w:p>
      <w:pPr>
        <w:widowControl/>
        <w:jc w:val="center"/>
        <w:rPr>
          <w:rFonts w:hint="default" w:ascii="黑体" w:hAnsi="宋体" w:eastAsia="黑体" w:cs="黑体"/>
          <w:color w:val="000000"/>
          <w:kern w:val="0"/>
          <w:sz w:val="52"/>
          <w:szCs w:val="52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52"/>
          <w:szCs w:val="52"/>
          <w:lang w:val="en-US" w:eastAsia="zh-CN" w:bidi="ar"/>
        </w:rPr>
        <w:t>内蒙古自治区</w:t>
      </w:r>
    </w:p>
    <w:p>
      <w:pPr>
        <w:jc w:val="center"/>
        <w:rPr>
          <w:b/>
          <w:sz w:val="36"/>
        </w:rPr>
      </w:pPr>
    </w:p>
    <w:p>
      <w:pPr>
        <w:jc w:val="center"/>
        <w:rPr>
          <w:rFonts w:hint="default" w:eastAsiaTheme="minorEastAsia"/>
          <w:b/>
          <w:sz w:val="36"/>
          <w:lang w:val="en-US" w:eastAsia="zh-CN"/>
        </w:rPr>
      </w:pPr>
      <w:r>
        <w:rPr>
          <w:rFonts w:hint="eastAsia"/>
          <w:b/>
          <w:sz w:val="36"/>
          <w:lang w:val="en-US" w:eastAsia="zh-CN"/>
        </w:rPr>
        <w:t>2023年3月</w:t>
      </w:r>
    </w:p>
    <w:p>
      <w:pPr>
        <w:jc w:val="center"/>
        <w:rPr>
          <w:b/>
          <w:sz w:val="72"/>
        </w:rPr>
      </w:pPr>
    </w:p>
    <w:p/>
    <w:p/>
    <w:p/>
    <w:p/>
    <w:tbl>
      <w:tblPr>
        <w:tblStyle w:val="7"/>
        <w:tblW w:w="0" w:type="auto"/>
        <w:tblInd w:w="120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0"/>
        <w:gridCol w:w="38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2750" w:type="dxa"/>
            <w:tcBorders>
              <w:tl2br w:val="nil"/>
              <w:tr2bl w:val="nil"/>
            </w:tcBorders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lang w:val="en-US" w:eastAsia="zh-CN"/>
              </w:rPr>
              <w:t>课程名称</w:t>
            </w:r>
          </w:p>
        </w:tc>
        <w:tc>
          <w:tcPr>
            <w:tcW w:w="3862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default" w:eastAsiaTheme="minorEastAsia"/>
                <w:sz w:val="30"/>
                <w:lang w:val="en-US" w:eastAsia="zh-CN"/>
              </w:rPr>
            </w:pPr>
            <w:r>
              <w:rPr>
                <w:rFonts w:hint="eastAsia"/>
                <w:sz w:val="30"/>
                <w:lang w:val="en-US" w:eastAsia="zh-CN"/>
              </w:rPr>
              <w:t>导游基础知识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0" w:type="dxa"/>
            <w:tcBorders>
              <w:tl2br w:val="nil"/>
              <w:tr2bl w:val="nil"/>
            </w:tcBorders>
          </w:tcPr>
          <w:p>
            <w:pPr>
              <w:rPr>
                <w:rFonts w:hint="eastAsia"/>
                <w:sz w:val="30"/>
              </w:rPr>
            </w:pPr>
          </w:p>
        </w:tc>
        <w:tc>
          <w:tcPr>
            <w:tcW w:w="3862" w:type="dxa"/>
            <w:tcBorders>
              <w:top w:val="single" w:color="auto" w:sz="4" w:space="0"/>
              <w:bottom w:val="nil"/>
            </w:tcBorders>
          </w:tcPr>
          <w:p>
            <w:pPr>
              <w:rPr>
                <w:rFonts w:hint="eastAsia"/>
                <w:sz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0" w:type="dxa"/>
            <w:tcBorders>
              <w:tl2br w:val="nil"/>
              <w:tr2bl w:val="nil"/>
            </w:tcBorders>
          </w:tcPr>
          <w:p>
            <w:pPr>
              <w:rPr>
                <w:vertAlign w:val="baseline"/>
              </w:rPr>
            </w:pPr>
            <w:r>
              <w:rPr>
                <w:rFonts w:hint="eastAsia"/>
                <w:sz w:val="30"/>
              </w:rPr>
              <w:t>编写负责人姓名：</w:t>
            </w:r>
          </w:p>
        </w:tc>
        <w:tc>
          <w:tcPr>
            <w:tcW w:w="3862" w:type="dxa"/>
            <w:tcBorders>
              <w:top w:val="nil"/>
              <w:bottom w:val="single" w:color="auto" w:sz="4" w:space="0"/>
            </w:tcBorders>
          </w:tcPr>
          <w:p>
            <w:pPr>
              <w:jc w:val="center"/>
              <w:rPr>
                <w:rFonts w:hint="default" w:eastAsiaTheme="minorEastAsia"/>
                <w:sz w:val="30"/>
                <w:lang w:val="en-US" w:eastAsia="zh-CN"/>
              </w:rPr>
            </w:pPr>
            <w:r>
              <w:rPr>
                <w:rFonts w:hint="eastAsia"/>
                <w:sz w:val="30"/>
                <w:lang w:val="en-US" w:eastAsia="zh-CN"/>
              </w:rPr>
              <w:t>潘  立  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0" w:type="dxa"/>
            <w:tcBorders>
              <w:tl2br w:val="nil"/>
              <w:tr2bl w:val="nil"/>
            </w:tcBorders>
          </w:tcPr>
          <w:p>
            <w:pPr>
              <w:rPr>
                <w:rFonts w:hint="eastAsia"/>
                <w:sz w:val="30"/>
              </w:rPr>
            </w:pPr>
          </w:p>
        </w:tc>
        <w:tc>
          <w:tcPr>
            <w:tcW w:w="3862" w:type="dxa"/>
            <w:tcBorders>
              <w:top w:val="single" w:color="auto" w:sz="4" w:space="0"/>
              <w:bottom w:val="nil"/>
            </w:tcBorders>
          </w:tcPr>
          <w:p>
            <w:pPr>
              <w:rPr>
                <w:rFonts w:hint="eastAsia"/>
                <w:sz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0" w:type="dxa"/>
            <w:tcBorders>
              <w:tl2br w:val="nil"/>
              <w:tr2bl w:val="nil"/>
            </w:tcBorders>
          </w:tcPr>
          <w:p>
            <w:pPr>
              <w:rPr>
                <w:vertAlign w:val="baseline"/>
              </w:rPr>
            </w:pPr>
            <w:r>
              <w:rPr>
                <w:rFonts w:hint="eastAsia"/>
                <w:sz w:val="30"/>
              </w:rPr>
              <w:t xml:space="preserve">联系电话：      </w:t>
            </w:r>
          </w:p>
        </w:tc>
        <w:tc>
          <w:tcPr>
            <w:tcW w:w="3862" w:type="dxa"/>
            <w:tcBorders>
              <w:top w:val="nil"/>
              <w:bottom w:val="single" w:color="auto" w:sz="4" w:space="0"/>
            </w:tcBorders>
          </w:tcPr>
          <w:p>
            <w:pPr>
              <w:jc w:val="center"/>
              <w:rPr>
                <w:rFonts w:hint="default" w:eastAsiaTheme="minorEastAsia"/>
                <w:sz w:val="30"/>
                <w:lang w:val="en-US" w:eastAsia="zh-CN"/>
              </w:rPr>
            </w:pPr>
            <w:r>
              <w:rPr>
                <w:rFonts w:hint="eastAsia"/>
                <w:sz w:val="30"/>
                <w:lang w:val="en-US" w:eastAsia="zh-CN"/>
              </w:rPr>
              <w:t>13866522168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0" w:type="dxa"/>
            <w:tcBorders>
              <w:tl2br w:val="nil"/>
              <w:tr2bl w:val="nil"/>
            </w:tcBorders>
          </w:tcPr>
          <w:p>
            <w:pPr>
              <w:rPr>
                <w:rFonts w:hint="eastAsia"/>
                <w:sz w:val="30"/>
              </w:rPr>
            </w:pPr>
          </w:p>
        </w:tc>
        <w:tc>
          <w:tcPr>
            <w:tcW w:w="3862" w:type="dxa"/>
            <w:tcBorders>
              <w:top w:val="single" w:color="auto" w:sz="4" w:space="0"/>
              <w:bottom w:val="nil"/>
            </w:tcBorders>
          </w:tcPr>
          <w:p>
            <w:pPr>
              <w:rPr>
                <w:rFonts w:hint="eastAsia"/>
                <w:sz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0" w:type="dxa"/>
            <w:tcBorders>
              <w:tl2br w:val="nil"/>
              <w:tr2bl w:val="nil"/>
            </w:tcBorders>
          </w:tcPr>
          <w:p>
            <w:pPr>
              <w:rPr>
                <w:vertAlign w:val="baseline"/>
              </w:rPr>
            </w:pPr>
            <w:r>
              <w:rPr>
                <w:rFonts w:hint="eastAsia"/>
                <w:sz w:val="30"/>
              </w:rPr>
              <w:t xml:space="preserve">院（部）名称：  </w:t>
            </w:r>
          </w:p>
        </w:tc>
        <w:tc>
          <w:tcPr>
            <w:tcW w:w="3862" w:type="dxa"/>
            <w:tcBorders>
              <w:top w:val="nil"/>
              <w:bottom w:val="single" w:color="auto" w:sz="4" w:space="0"/>
            </w:tcBorders>
          </w:tcPr>
          <w:p>
            <w:pPr>
              <w:jc w:val="center"/>
              <w:rPr>
                <w:rFonts w:hint="default" w:eastAsiaTheme="minorEastAsia"/>
                <w:sz w:val="30"/>
                <w:lang w:val="en-US" w:eastAsia="zh-CN"/>
              </w:rPr>
            </w:pPr>
            <w:r>
              <w:rPr>
                <w:rFonts w:hint="eastAsia"/>
                <w:sz w:val="30"/>
                <w:lang w:val="en-US" w:eastAsia="zh-CN"/>
              </w:rPr>
              <w:t>地理信息与旅游学院</w:t>
            </w:r>
          </w:p>
        </w:tc>
      </w:tr>
    </w:tbl>
    <w:p/>
    <w:p>
      <w:pPr>
        <w:jc w:val="center"/>
        <w:rPr>
          <w:b/>
          <w:sz w:val="30"/>
        </w:rPr>
      </w:pPr>
    </w:p>
    <w:p>
      <w:pPr>
        <w:pStyle w:val="2"/>
        <w:sectPr>
          <w:foot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>
      <w:pPr>
        <w:widowControl/>
        <w:jc w:val="center"/>
        <w:rPr>
          <w:rFonts w:ascii="黑体" w:hAnsi="黑体" w:eastAsia="黑体" w:cs="黑体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lang w:val="en-US" w:eastAsia="zh-CN" w:bidi="ar"/>
        </w:rPr>
        <w:t>《导游基础知识》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lang w:bidi="ar"/>
        </w:rPr>
        <w:t>课程真实项目案例库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课程名称</w:t>
            </w:r>
          </w:p>
        </w:tc>
        <w:tc>
          <w:tcPr>
            <w:tcW w:w="2130" w:type="dxa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导游基础知识</w:t>
            </w:r>
          </w:p>
        </w:tc>
        <w:tc>
          <w:tcPr>
            <w:tcW w:w="2131" w:type="dxa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学时</w:t>
            </w:r>
          </w:p>
        </w:tc>
        <w:tc>
          <w:tcPr>
            <w:tcW w:w="2131" w:type="dxa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适用专业</w:t>
            </w:r>
          </w:p>
        </w:tc>
        <w:tc>
          <w:tcPr>
            <w:tcW w:w="2130" w:type="dxa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旅游管理</w:t>
            </w:r>
          </w:p>
        </w:tc>
        <w:tc>
          <w:tcPr>
            <w:tcW w:w="2131" w:type="dxa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适用年级</w:t>
            </w:r>
          </w:p>
        </w:tc>
        <w:tc>
          <w:tcPr>
            <w:tcW w:w="2131" w:type="dxa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制订人</w:t>
            </w:r>
          </w:p>
        </w:tc>
        <w:tc>
          <w:tcPr>
            <w:tcW w:w="2130" w:type="dxa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潘立新</w:t>
            </w:r>
          </w:p>
        </w:tc>
        <w:tc>
          <w:tcPr>
            <w:tcW w:w="2131" w:type="dxa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时间</w:t>
            </w:r>
          </w:p>
        </w:tc>
        <w:tc>
          <w:tcPr>
            <w:tcW w:w="2131" w:type="dxa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2023.3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课程目标</w:t>
            </w:r>
          </w:p>
        </w:tc>
        <w:tc>
          <w:tcPr>
            <w:tcW w:w="6392" w:type="dxa"/>
            <w:gridSpan w:val="3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目标1：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正确认识课程的性质、任务及其研究对象，形成导游基础知识的整体框架体系，基本的理论基础与必要的实践能力，具有导游人员基本的知识储备。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continue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6392" w:type="dxa"/>
            <w:gridSpan w:val="3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目标2：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通过本课程学习，使学生能系统地掌握全国各省市自治区导游基础知识；掌握地方导游基础知识的基本理论、基本概念、基本知识和基本内容，了解学科发展的新理论与新思想。提升学生专业文化素质，提高学生导游讲解水平。通过归纳总结全国旅游发展过程中存在的问题及解决途径，了解对本地旅游资源开发及保护的关系，形成正确的人地协调发展的情感、态度和价值观。通过学习本课程，提高理论联系实践的水平与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continue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6392" w:type="dxa"/>
            <w:gridSpan w:val="3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目标3：加强理论与实践结合，在完成基本理论原理教学基础上，积极开展实践教学，提高学生分析问题与解决实际问题的能力。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（1）培养学生对中华传统文化的理解和认知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通过中国传统文化的支撑，传承和创新中华优秀传统文化，积极引导当代学生树立正确的国家观、民族观、历史观、文化观，深化学生的文化自信。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（2）坚持以德为本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要求学生坚持以德立身、以德立学、以德施教，注重加强对学生的世界观、人生观和价值观的教育，促进和谐社会发展进步；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（3）进行爱国主义、集体主义教育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从旅游基础知识出发，培养学生的爱国主义情怀，引人以大道、启人以大智，使学生成长为栋梁之材。在中国共产党的领导下，我们的祖国正在走向繁荣昌盛，没有强大的祖国，就没有我们今天的自由生活，要为祖国繁荣富强而努力学习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（4）宣扬改革创新为核心的时代精神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在“导游基础知识”融入改革创新的时代精神，开放思想观念，突破陈规、大胆探索、敢于创造。教育引导学生要有责任感与使命感：不甘落后、奋勇争先、追求进步。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4"/>
          <w:szCs w:val="24"/>
          <w:lang w:bidi="ar"/>
        </w:rPr>
      </w:pPr>
    </w:p>
    <w:p>
      <w:pPr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br w:type="page"/>
      </w:r>
    </w:p>
    <w:p>
      <w:pPr>
        <w:spacing w:line="480" w:lineRule="exact"/>
        <w:jc w:val="center"/>
        <w:rPr>
          <w:rFonts w:hint="default" w:ascii="Times New Roman" w:hAnsi="Times New Roman" w:eastAsia="黑体" w:cs="Times New Roman"/>
          <w:color w:val="auto"/>
          <w:sz w:val="36"/>
          <w:szCs w:val="36"/>
          <w:lang w:val="en-US" w:eastAsia="zh-CN"/>
        </w:rPr>
      </w:pPr>
      <w:r>
        <w:rPr>
          <w:rFonts w:hint="eastAsia" w:ascii="Times New Roman" w:hAnsi="Times New Roman" w:eastAsia="黑体" w:cs="Times New Roman"/>
          <w:color w:val="auto"/>
          <w:sz w:val="36"/>
          <w:szCs w:val="36"/>
          <w:lang w:val="en-US" w:eastAsia="zh-CN"/>
        </w:rPr>
        <w:t>第一章 华北地区各省市自治区导游基础知识</w:t>
      </w:r>
    </w:p>
    <w:p>
      <w:pPr>
        <w:spacing w:line="480" w:lineRule="exact"/>
        <w:jc w:val="center"/>
        <w:rPr>
          <w:rFonts w:hint="default" w:ascii="Times New Roman" w:hAnsi="Times New Roman" w:eastAsia="黑体" w:cs="Times New Roman"/>
          <w:color w:val="auto"/>
          <w:sz w:val="36"/>
          <w:szCs w:val="36"/>
          <w:lang w:val="en-US"/>
        </w:rPr>
      </w:pPr>
      <w:r>
        <w:rPr>
          <w:rFonts w:hint="eastAsia" w:ascii="Times New Roman" w:hAnsi="Times New Roman" w:eastAsia="黑体" w:cs="Times New Roman"/>
          <w:color w:val="auto"/>
          <w:sz w:val="36"/>
          <w:szCs w:val="36"/>
          <w:lang w:val="en-US" w:eastAsia="zh-CN"/>
        </w:rPr>
        <w:t>第五</w:t>
      </w:r>
      <w:bookmarkStart w:id="0" w:name="_GoBack"/>
      <w:bookmarkEnd w:id="0"/>
      <w:r>
        <w:rPr>
          <w:rFonts w:hint="eastAsia" w:ascii="Times New Roman" w:hAnsi="Times New Roman" w:eastAsia="黑体" w:cs="Times New Roman"/>
          <w:color w:val="auto"/>
          <w:sz w:val="36"/>
          <w:szCs w:val="36"/>
          <w:lang w:val="en-US" w:eastAsia="zh-CN"/>
        </w:rPr>
        <w:t>节  内蒙古自治区</w:t>
      </w:r>
    </w:p>
    <w:p>
      <w:pPr>
        <w:spacing w:line="480" w:lineRule="exact"/>
        <w:jc w:val="center"/>
        <w:rPr>
          <w:rFonts w:ascii="Times New Roman" w:hAnsi="Times New Roman" w:eastAsia="黑体" w:cs="Times New Roman"/>
          <w:color w:val="FF000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textAlignment w:val="auto"/>
        <w:rPr>
          <w:rFonts w:ascii="黑体" w:hAnsi="黑体" w:eastAsia="黑体" w:cstheme="minorBidi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theme="minorBidi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一、课程基本信息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课程名称：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导游基础知识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课程类别：□专业选修课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课程总学分：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课程总学时：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64（本人教学部分32学时）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授课教师：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潘立新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授课班级：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旅游管理、旅游管理对口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教学内容：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内蒙古自治区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textAlignment w:val="auto"/>
        <w:rPr>
          <w:rFonts w:hint="eastAsia" w:ascii="Times New Roman" w:hAnsi="Times New Roman" w:eastAsia="宋体" w:cs="Times New Roman"/>
          <w:color w:val="FF0000"/>
          <w:sz w:val="24"/>
          <w:szCs w:val="24"/>
        </w:rPr>
      </w:pPr>
      <w:r>
        <w:rPr>
          <w:rFonts w:hint="eastAsia" w:ascii="黑体" w:hAnsi="黑体" w:eastAsia="黑体" w:cstheme="minorBidi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二、教学目标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（一）知识目标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1.熟悉、了解内蒙古自治区地理与自然、区划与人口、交通与历史沿革等相关内容。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2.掌握、熟悉、了解内蒙古自治区民族风情、文化旅游资源、风物特产、特色产业等相关内容。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（二）能力目标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1.提升学生专业文化素质，提高学生导游讲解的知识水平。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2.通过归纳总结全国旅游发展过程中存在的问题及解决途径，了解对内蒙旅游资源开发及保护的关系，形成正确的人地协调发展的情感、态度和价值观。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3.通过学习本课程，提高理论联系实践的水平与能力。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（三）课程思政目标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1.了解、认识内蒙古自治区，进一步热爱祖国、热爱家乡。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2.培养学生对中华传统文化的理解和认知；通过中国传统文化的支撑，传承和创新中华优秀传统文化，积极引导当代学生树立正确的国家观、民族观、历史观、文化观，深化学生的文化自信。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3.要求学生坚持以德立身、以德立学、以德施教，注重加强对学生的世界观、人生观和价值观的教育，促进和谐社会发展进步；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4.结合二十大，通过对比国内外形势，激发同学们的爱国热情，感悟中国社会主义制度的优越性；在习近平主席带领下，全国人民万众一心、众志成城向第二个百年奋斗目标迈进。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textAlignment w:val="auto"/>
        <w:rPr>
          <w:rFonts w:ascii="黑体" w:hAnsi="黑体" w:eastAsia="黑体" w:cstheme="minorBidi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theme="minorBidi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三、教学设计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（一）教学内容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内蒙古自治区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地理与气候、交通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状况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、历史沿革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内蒙古自治区民族风情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文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旅资源、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风物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特产、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特色产业、高等教育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（二）教学方法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1.任务驱动法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上课前布置任务，让学生带着在互联网上自己学习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内蒙古自治区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有关自然地理条件、旅游资源基本情况。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课上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师生交流讨论；课后将学生整理的资料、课中讨论结果汇报等，通过移动互联网平台进行及时分享，达到成果展示和文化传播的延伸效果。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2.理论讲解法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上课时，老师讲解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内蒙古自治区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基本情况，具有特色的文化、丰富多彩的旅游景区，味道纯正的美味佳肴。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3.案例法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在讲解时，基本每一部分都要加入一个以上案例。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4.现代信息平台——雨课堂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全程使用清华大学的雨课堂，请学生在手机上回答问题、弹幕。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（三）课程思政融合点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1.内蒙古，中国东西跨度最大的自治区，拥有得天独厚的旅游资源，丰富的草原旅游景区，突出祖国幅原辽阔，特产丰富。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2.与蒙古国相邻，两国关系良好，两边均属蒙古族，经济差异巨大，体现中国经济高速发展，人民生活富足。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3.民族特色鲜明，蒙古族人民勤劳、勇敢，体现多民族在融合。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4.宣传中华灿烂文明和优秀文化，展示大国实力和精神风貌，增强民族凝聚力和自豪感。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5.中国现代化建设的伟大成就、创新精神、拼搏精神，生态环境良好。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6.中华民族自尊、自信、自立、自强的精神与意志的体现。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7.鼓励学生努力学习，掌握更多文化知识，实现第二个百年奋斗目标、实现中华民族伟大复兴的中国梦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textAlignment w:val="auto"/>
        <w:rPr>
          <w:rFonts w:hint="eastAsia" w:ascii="黑体" w:hAnsi="黑体" w:eastAsia="黑体" w:cstheme="minorBidi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theme="minorBidi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四、教学过程</w:t>
      </w:r>
      <w:r>
        <w:rPr>
          <w:rFonts w:hint="eastAsia" w:ascii="黑体" w:hAnsi="黑体" w:eastAsia="黑体" w:cstheme="minorBidi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与课程思政设计</w:t>
      </w:r>
    </w:p>
    <w:p>
      <w:pPr>
        <w:pStyle w:val="2"/>
      </w:pPr>
    </w:p>
    <w:p>
      <w:pPr>
        <w:spacing w:line="500" w:lineRule="exact"/>
        <w:ind w:firstLine="480" w:firstLineChars="200"/>
        <w:rPr>
          <w:rFonts w:ascii="宋体" w:hAnsi="宋体"/>
          <w:sz w:val="24"/>
        </w:rPr>
        <w:sectPr>
          <w:footerReference r:id="rId4" w:type="default"/>
          <w:pgSz w:w="11906" w:h="16838"/>
          <w:pgMar w:top="1418" w:right="1418" w:bottom="1418" w:left="1701" w:header="851" w:footer="992" w:gutter="0"/>
          <w:cols w:space="425" w:num="1"/>
          <w:docGrid w:type="lines" w:linePitch="312" w:charSpace="0"/>
        </w:sectPr>
      </w:pPr>
    </w:p>
    <w:p>
      <w:pPr>
        <w:spacing w:line="500" w:lineRule="exact"/>
        <w:ind w:firstLine="480" w:firstLineChars="200"/>
        <w:rPr>
          <w:rFonts w:ascii="宋体" w:hAnsi="宋体" w:eastAsia="宋体" w:cs="Times New Roman"/>
          <w:sz w:val="24"/>
          <w:szCs w:val="24"/>
        </w:rPr>
      </w:pPr>
    </w:p>
    <w:tbl>
      <w:tblPr>
        <w:tblStyle w:val="6"/>
        <w:tblW w:w="140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3"/>
        <w:gridCol w:w="3357"/>
        <w:gridCol w:w="1913"/>
        <w:gridCol w:w="650"/>
        <w:gridCol w:w="2075"/>
        <w:gridCol w:w="1668"/>
        <w:gridCol w:w="207"/>
        <w:gridCol w:w="29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12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ind w:left="118" w:leftChars="56"/>
              <w:jc w:val="center"/>
              <w:textAlignment w:val="auto"/>
              <w:rPr>
                <w:rFonts w:hint="eastAsia" w:ascii="楷体_GB2312" w:hAnsi="Calibri" w:eastAsia="楷体_GB2312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hAnsi="Calibri" w:eastAsia="楷体_GB2312" w:cs="Times New Roman"/>
                <w:b/>
                <w:sz w:val="28"/>
                <w:szCs w:val="28"/>
                <w:lang w:val="en-US" w:eastAsia="zh-CN"/>
              </w:rPr>
              <w:t>教学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ind w:left="118" w:leftChars="56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hAnsi="Calibri" w:eastAsia="楷体_GB2312" w:cs="Times New Roman"/>
                <w:b/>
                <w:sz w:val="28"/>
                <w:szCs w:val="28"/>
                <w:lang w:val="en-US" w:eastAsia="zh-CN"/>
              </w:rPr>
              <w:t>内容</w:t>
            </w:r>
          </w:p>
        </w:tc>
        <w:tc>
          <w:tcPr>
            <w:tcW w:w="3357" w:type="dxa"/>
            <w:shd w:val="clear" w:color="auto" w:fill="auto"/>
            <w:vAlign w:val="center"/>
          </w:tcPr>
          <w:p>
            <w:pPr>
              <w:ind w:left="118" w:leftChars="56"/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内蒙古</w:t>
            </w:r>
          </w:p>
        </w:tc>
        <w:tc>
          <w:tcPr>
            <w:tcW w:w="191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上课专业</w:t>
            </w:r>
          </w:p>
        </w:tc>
        <w:tc>
          <w:tcPr>
            <w:tcW w:w="272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旅游管理、旅游管理对口</w:t>
            </w:r>
          </w:p>
        </w:tc>
        <w:tc>
          <w:tcPr>
            <w:tcW w:w="187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地点</w:t>
            </w:r>
          </w:p>
        </w:tc>
        <w:tc>
          <w:tcPr>
            <w:tcW w:w="29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逸夫楼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</w:trPr>
        <w:tc>
          <w:tcPr>
            <w:tcW w:w="1233" w:type="dxa"/>
            <w:shd w:val="clear" w:color="auto" w:fill="auto"/>
            <w:vAlign w:val="center"/>
          </w:tcPr>
          <w:p>
            <w:pPr>
              <w:ind w:left="118" w:leftChars="56"/>
              <w:jc w:val="center"/>
              <w:rPr>
                <w:rFonts w:hint="default" w:ascii="楷体_GB2312" w:hAnsi="Calibri" w:eastAsia="楷体_GB2312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hAnsi="Calibri" w:eastAsia="楷体_GB2312" w:cs="Times New Roman"/>
                <w:b/>
                <w:sz w:val="28"/>
                <w:szCs w:val="28"/>
                <w:lang w:val="en-US" w:eastAsia="zh-CN"/>
              </w:rPr>
              <w:t>教学重点难点</w:t>
            </w:r>
          </w:p>
        </w:tc>
        <w:tc>
          <w:tcPr>
            <w:tcW w:w="12845" w:type="dxa"/>
            <w:gridSpan w:val="7"/>
            <w:shd w:val="clear" w:color="auto" w:fill="auto"/>
            <w:vAlign w:val="top"/>
          </w:tcPr>
          <w:p>
            <w:pPr>
              <w:ind w:firstLine="482" w:firstLineChars="200"/>
              <w:jc w:val="both"/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  <w:lang w:val="en-US" w:eastAsia="zh-CN"/>
              </w:rPr>
              <w:t>重点：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1.交通状况</w:t>
            </w:r>
          </w:p>
          <w:p>
            <w:pPr>
              <w:ind w:firstLine="1200" w:firstLineChars="500"/>
              <w:jc w:val="both"/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2.文旅资源；</w:t>
            </w:r>
          </w:p>
          <w:p>
            <w:pPr>
              <w:ind w:firstLine="1200" w:firstLineChars="500"/>
              <w:jc w:val="both"/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3.资源丰富；</w:t>
            </w:r>
          </w:p>
          <w:p>
            <w:pPr>
              <w:ind w:firstLine="482" w:firstLineChars="200"/>
              <w:jc w:val="both"/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  <w:lang w:val="en-US" w:eastAsia="zh-CN"/>
              </w:rPr>
              <w:t>难点：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1.历史沿革；</w:t>
            </w:r>
          </w:p>
          <w:p>
            <w:pPr>
              <w:ind w:firstLine="480" w:firstLineChars="200"/>
              <w:jc w:val="both"/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 xml:space="preserve">      2.文旅资源；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</w:trPr>
        <w:tc>
          <w:tcPr>
            <w:tcW w:w="1233" w:type="dxa"/>
            <w:shd w:val="clear" w:color="auto" w:fill="auto"/>
            <w:vAlign w:val="center"/>
          </w:tcPr>
          <w:p>
            <w:pPr>
              <w:ind w:left="118" w:leftChars="56"/>
              <w:jc w:val="center"/>
              <w:rPr>
                <w:rFonts w:hint="eastAsia" w:ascii="楷体_GB2312" w:hAnsi="Calibri" w:eastAsia="楷体_GB2312" w:cs="Times New Roman"/>
                <w:b/>
                <w:sz w:val="28"/>
                <w:szCs w:val="28"/>
              </w:rPr>
            </w:pPr>
            <w:r>
              <w:rPr>
                <w:rFonts w:hint="eastAsia" w:ascii="楷体_GB2312" w:hAnsi="Calibri" w:eastAsia="楷体_GB2312" w:cs="Times New Roman"/>
                <w:b/>
                <w:sz w:val="28"/>
                <w:szCs w:val="28"/>
              </w:rPr>
              <w:t>教学</w:t>
            </w:r>
          </w:p>
          <w:p>
            <w:pPr>
              <w:ind w:left="118" w:leftChars="56"/>
              <w:jc w:val="center"/>
              <w:rPr>
                <w:rFonts w:hint="eastAsia" w:ascii="楷体_GB2312" w:hAnsi="Calibri" w:eastAsia="楷体_GB2312" w:cs="Times New Roman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_GB2312" w:hAnsi="Calibri" w:eastAsia="楷体_GB2312" w:cs="Times New Roman"/>
                <w:b/>
                <w:sz w:val="28"/>
                <w:szCs w:val="28"/>
              </w:rPr>
              <w:t>步骤</w:t>
            </w:r>
          </w:p>
        </w:tc>
        <w:tc>
          <w:tcPr>
            <w:tcW w:w="5920" w:type="dxa"/>
            <w:gridSpan w:val="3"/>
            <w:shd w:val="clear" w:color="auto" w:fill="auto"/>
            <w:vAlign w:val="center"/>
          </w:tcPr>
          <w:p>
            <w:pPr>
              <w:ind w:left="118" w:leftChars="56"/>
              <w:jc w:val="center"/>
              <w:rPr>
                <w:rFonts w:hint="eastAsia" w:ascii="楷体_GB2312" w:hAnsi="Calibri" w:eastAsia="楷体_GB2312" w:cs="Times New Roman"/>
                <w:b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楷体_GB2312" w:hAnsi="Calibri" w:eastAsia="楷体_GB2312" w:cs="Times New Roman"/>
                <w:b/>
                <w:sz w:val="30"/>
                <w:szCs w:val="30"/>
              </w:rPr>
              <w:t>教师教学活动</w:t>
            </w:r>
          </w:p>
        </w:tc>
        <w:tc>
          <w:tcPr>
            <w:tcW w:w="37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楷体_GB2312" w:hAnsi="Calibri" w:eastAsia="楷体_GB2312" w:cs="Times New Roman"/>
                <w:b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30"/>
                <w:szCs w:val="30"/>
              </w:rPr>
              <w:t>学生学习活动</w:t>
            </w:r>
          </w:p>
        </w:tc>
        <w:tc>
          <w:tcPr>
            <w:tcW w:w="318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sz w:val="30"/>
                <w:szCs w:val="30"/>
              </w:rPr>
              <w:t>设计意图</w:t>
            </w:r>
          </w:p>
          <w:p>
            <w:pPr>
              <w:jc w:val="center"/>
              <w:rPr>
                <w:rFonts w:hint="default" w:ascii="宋体" w:hAnsi="宋体" w:eastAsia="宋体" w:cs="宋体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sz w:val="30"/>
                <w:szCs w:val="30"/>
                <w:lang w:val="en-US" w:eastAsia="zh-CN"/>
              </w:rPr>
              <w:t>课程思政）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7" w:hRule="atLeast"/>
        </w:trPr>
        <w:tc>
          <w:tcPr>
            <w:tcW w:w="1233" w:type="dxa"/>
            <w:shd w:val="clear" w:color="auto" w:fill="auto"/>
          </w:tcPr>
          <w:p>
            <w:pPr>
              <w:rPr>
                <w:rFonts w:hint="eastAsia" w:ascii="楷体" w:hAnsi="楷体" w:eastAsia="楷体" w:cs="楷体"/>
                <w:szCs w:val="24"/>
              </w:rPr>
            </w:pPr>
          </w:p>
          <w:p>
            <w:pPr>
              <w:rPr>
                <w:rFonts w:hint="eastAsia" w:ascii="楷体" w:hAnsi="楷体" w:eastAsia="楷体" w:cs="楷体"/>
                <w:szCs w:val="24"/>
              </w:rPr>
            </w:pPr>
          </w:p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一、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  <w:lang w:val="en-US" w:eastAsia="zh-CN"/>
              </w:rPr>
              <w:t>复习旧课，引入新课：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创设情境，感知“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  <w:lang w:val="en-US" w:eastAsia="zh-CN"/>
              </w:rPr>
              <w:t>首都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”</w:t>
            </w:r>
          </w:p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 w:cs="楷体"/>
                <w:szCs w:val="24"/>
              </w:rPr>
            </w:pPr>
          </w:p>
          <w:p>
            <w:pPr>
              <w:rPr>
                <w:rFonts w:hint="eastAsia" w:ascii="楷体" w:hAnsi="楷体" w:eastAsia="楷体" w:cs="楷体"/>
                <w:szCs w:val="24"/>
              </w:rPr>
            </w:pPr>
          </w:p>
        </w:tc>
        <w:tc>
          <w:tcPr>
            <w:tcW w:w="5920" w:type="dxa"/>
            <w:gridSpan w:val="3"/>
            <w:shd w:val="clear" w:color="auto" w:fill="auto"/>
          </w:tcPr>
          <w:p>
            <w:pPr>
              <w:ind w:firstLine="480" w:firstLineChars="200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谈话：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与学生打招呼后，复习旧课——吉林省，导入内蒙古自治区。导入基本内容；</w:t>
            </w:r>
          </w:p>
          <w:p>
            <w:pPr>
              <w:ind w:left="0" w:leftChars="0" w:firstLine="0" w:firstLineChars="0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问题一：有哪些同学去过内蒙古？</w:t>
            </w:r>
          </w:p>
          <w:p>
            <w:pPr>
              <w:ind w:left="0" w:leftChars="0" w:firstLine="0" w:firstLineChars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FF0000"/>
                <w:sz w:val="24"/>
                <w:szCs w:val="24"/>
                <w:lang w:val="en-US" w:eastAsia="zh-CN"/>
              </w:rPr>
              <w:t>手机雨课堂回答</w:t>
            </w:r>
          </w:p>
          <w:p>
            <w:pPr>
              <w:ind w:firstLine="480" w:firstLineChars="200"/>
              <w:rPr>
                <w:rFonts w:hint="eastAsia"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引入“内蒙古自治区”</w:t>
            </w:r>
          </w:p>
        </w:tc>
        <w:tc>
          <w:tcPr>
            <w:tcW w:w="3743" w:type="dxa"/>
            <w:gridSpan w:val="2"/>
            <w:shd w:val="clear" w:color="auto" w:fill="auto"/>
          </w:tcPr>
          <w:p>
            <w:pPr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积极配合老师，回答老师问题</w:t>
            </w:r>
          </w:p>
          <w:p>
            <w:pPr>
              <w:ind w:left="0" w:leftChars="0" w:firstLine="0" w:firstLineChars="0"/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有没有去过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内蒙古</w:t>
            </w:r>
          </w:p>
          <w:p>
            <w:pPr>
              <w:ind w:left="0" w:leftChars="0" w:firstLine="0" w:firstLineChars="0"/>
              <w:rPr>
                <w:rFonts w:hint="eastAsia"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3182" w:type="dxa"/>
            <w:gridSpan w:val="2"/>
            <w:shd w:val="clear" w:color="auto" w:fill="auto"/>
          </w:tcPr>
          <w:p>
            <w:pPr>
              <w:ind w:firstLine="480" w:firstLineChars="200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使原本抽象的课程形象生动，让学生潜移默化中接受思想政治的教化，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。</w:t>
            </w:r>
          </w:p>
          <w:p>
            <w:pPr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</w:p>
          <w:p>
            <w:pPr>
              <w:ind w:firstLine="480" w:firstLineChars="200"/>
              <w:rPr>
                <w:rFonts w:hint="eastAsia" w:ascii="Calibri" w:hAnsi="Calibri" w:eastAsia="宋体" w:cs="Times New Roman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hint="eastAsia" w:ascii="Calibri" w:hAnsi="Calibri" w:eastAsia="宋体" w:cs="Times New Roman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4" w:hRule="atLeast"/>
        </w:trPr>
        <w:tc>
          <w:tcPr>
            <w:tcW w:w="1233" w:type="dxa"/>
            <w:vMerge w:val="restart"/>
            <w:shd w:val="clear" w:color="auto" w:fill="auto"/>
          </w:tcPr>
          <w:p>
            <w:pPr>
              <w:rPr>
                <w:rFonts w:hint="eastAsia" w:ascii="楷体" w:hAnsi="楷体" w:eastAsia="楷体" w:cs="楷体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二、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  <w:lang w:val="en-US" w:eastAsia="zh-CN"/>
              </w:rPr>
              <w:t>新课内容</w:t>
            </w:r>
          </w:p>
        </w:tc>
        <w:tc>
          <w:tcPr>
            <w:tcW w:w="5920" w:type="dxa"/>
            <w:gridSpan w:val="3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/>
              <w:jc w:val="left"/>
              <w:textAlignment w:val="auto"/>
              <w:rPr>
                <w:rFonts w:hint="default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1、祖国的最北地区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内蒙古自治区地处祖国北部边疆，幅员辽阔，横跨东北、华北、西北，毗邻8省市区，接壤俄、蒙两国，总土地面积118.3万平方公里，占全国总面积的12.3%，为我国第三大省区。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743" w:type="dxa"/>
            <w:gridSpan w:val="2"/>
            <w:shd w:val="clear" w:color="auto" w:fill="auto"/>
          </w:tcPr>
          <w:p>
            <w:pPr>
              <w:numPr>
                <w:ilvl w:val="0"/>
                <w:numId w:val="1"/>
              </w:numP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问题二：请学生简要回答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内蒙古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简称</w:t>
            </w:r>
          </w:p>
          <w:p>
            <w:pPr>
              <w:numPr>
                <w:ilvl w:val="0"/>
                <w:numId w:val="0"/>
              </w:numPr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手机弹幕</w:t>
            </w:r>
          </w:p>
          <w:p>
            <w:pPr>
              <w:numPr>
                <w:ilvl w:val="0"/>
                <w:numId w:val="0"/>
              </w:numPr>
              <w:rPr>
                <w:rFonts w:hint="eastAsia" w:ascii="Calibri" w:hAnsi="Calibri" w:eastAsia="宋体" w:cs="Times New Roman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3182" w:type="dxa"/>
            <w:gridSpan w:val="2"/>
            <w:shd w:val="clear" w:color="auto" w:fill="auto"/>
          </w:tcPr>
          <w:p>
            <w:pPr>
              <w:ind w:firstLine="480" w:firstLineChars="200"/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引领学生通过学习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内蒙古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是中国东西跨度最大地区，弘扬中国的地域广博，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激发同学们的热爱祖国的热情。</w:t>
            </w:r>
          </w:p>
          <w:p>
            <w:pPr>
              <w:ind w:firstLine="480" w:firstLineChars="200"/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</w:pPr>
          </w:p>
          <w:p>
            <w:pPr>
              <w:ind w:firstLine="480" w:firstLineChars="200"/>
              <w:rPr>
                <w:rFonts w:hint="eastAsia" w:ascii="Calibri" w:hAnsi="Calibri" w:eastAsia="宋体" w:cs="Times New Roman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1233" w:type="dxa"/>
            <w:vMerge w:val="continue"/>
            <w:shd w:val="clear" w:color="auto" w:fill="auto"/>
          </w:tcPr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</w:p>
        </w:tc>
        <w:tc>
          <w:tcPr>
            <w:tcW w:w="5920" w:type="dxa"/>
            <w:gridSpan w:val="3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2、在内蒙古辽阔富饶的土地上，有茂密的森林，丰美的草场，肥沃的农田，广阔的水面，众多的野生动植物和无穷无尽的矿藏资源。全区矿产储量潜在价值（不含石油、天然气）达13万亿元，居全国第三位。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/>
              <w:jc w:val="left"/>
              <w:textAlignment w:val="auto"/>
              <w:rPr>
                <w:rFonts w:hint="default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743" w:type="dxa"/>
            <w:gridSpan w:val="2"/>
            <w:shd w:val="clear" w:color="auto" w:fill="auto"/>
          </w:tcPr>
          <w:p>
            <w:pPr>
              <w:numPr>
                <w:ilvl w:val="0"/>
                <w:numId w:val="0"/>
              </w:numPr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2、请学生了解：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内蒙古有"东林西铁，南粮北牧，遍地矿藏"的美誉。</w:t>
            </w:r>
          </w:p>
          <w:p>
            <w:pPr>
              <w:numPr>
                <w:ilvl w:val="0"/>
                <w:numId w:val="0"/>
              </w:numPr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天苍苍，野茫茫，风吹草低见牛羊</w:t>
            </w:r>
          </w:p>
          <w:p>
            <w:pPr>
              <w:numPr>
                <w:ilvl w:val="0"/>
                <w:numId w:val="0"/>
              </w:numPr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drawing>
                <wp:inline distT="0" distB="0" distL="114300" distR="114300">
                  <wp:extent cx="2238375" cy="1438275"/>
                  <wp:effectExtent l="0" t="0" r="9525" b="9525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837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2" w:type="dxa"/>
            <w:gridSpan w:val="2"/>
            <w:shd w:val="clear" w:color="auto" w:fill="auto"/>
          </w:tcPr>
          <w:p>
            <w:pPr>
              <w:numPr>
                <w:ilvl w:val="0"/>
                <w:numId w:val="0"/>
              </w:numPr>
              <w:ind w:leftChars="0"/>
              <w:rPr>
                <w:rFonts w:hint="default" w:ascii="Calibri" w:hAnsi="Calibri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Cs/>
                <w:sz w:val="24"/>
                <w:szCs w:val="24"/>
                <w:lang w:val="en-US" w:eastAsia="zh-CN"/>
              </w:rPr>
              <w:t>2、热爱祖国、热爱家乡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 w:ascii="Calibri" w:hAnsi="Calibri" w:eastAsia="宋体" w:cs="Times New Roman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1233" w:type="dxa"/>
            <w:vMerge w:val="continue"/>
            <w:shd w:val="clear" w:color="auto" w:fill="auto"/>
          </w:tcPr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</w:p>
        </w:tc>
        <w:tc>
          <w:tcPr>
            <w:tcW w:w="5920" w:type="dxa"/>
            <w:gridSpan w:val="3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3、民族与行政区划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内蒙古自治区目前居住着49个民族。其中，内蒙古自治区是一个多民族聚居的地区，目前有49个民族居住在这块土地上。全区共有人口2306.55万人，其中蒙古族377万人，汉族1760多万人，其少数民族90多万人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其中包括鄂伦春、鄂温克、莫力达瓦达斡尔３个少数民族自治旗。</w:t>
            </w:r>
          </w:p>
        </w:tc>
        <w:tc>
          <w:tcPr>
            <w:tcW w:w="3743" w:type="dxa"/>
            <w:gridSpan w:val="2"/>
            <w:shd w:val="clear" w:color="auto" w:fill="auto"/>
          </w:tcPr>
          <w:p>
            <w:pPr>
              <w:numPr>
                <w:ilvl w:val="0"/>
                <w:numId w:val="0"/>
              </w:numPr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4、问题三：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中国少数民族有多少</w:t>
            </w:r>
            <w:r>
              <w:rPr>
                <w:rFonts w:hint="eastAsia" w:ascii="Calibri" w:hAnsi="Calibri" w:eastAsia="宋体" w:cs="Times New Roman"/>
                <w:b/>
                <w:bCs/>
                <w:color w:val="FF0000"/>
                <w:sz w:val="24"/>
                <w:szCs w:val="24"/>
                <w:lang w:val="en-US" w:eastAsia="zh-CN"/>
              </w:rPr>
              <w:t>手机弹幕</w:t>
            </w:r>
          </w:p>
          <w:p>
            <w:pPr>
              <w:numPr>
                <w:ilvl w:val="0"/>
                <w:numId w:val="0"/>
              </w:numPr>
              <w:rPr>
                <w:rFonts w:hint="eastAsia"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3182" w:type="dxa"/>
            <w:gridSpan w:val="2"/>
            <w:shd w:val="clear" w:color="auto" w:fill="auto"/>
          </w:tcPr>
          <w:p>
            <w:pPr>
              <w:numPr>
                <w:ilvl w:val="0"/>
                <w:numId w:val="0"/>
              </w:numPr>
              <w:ind w:leftChars="0"/>
              <w:rPr>
                <w:rFonts w:hint="default" w:ascii="Calibri" w:hAnsi="Calibri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Cs/>
                <w:sz w:val="24"/>
                <w:szCs w:val="24"/>
                <w:lang w:val="en-US" w:eastAsia="zh-CN"/>
              </w:rPr>
              <w:t>3、中国是多民族大家庭，各民族之间相处和谐、友好，国家繁荣昌盛。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1233" w:type="dxa"/>
            <w:vMerge w:val="continue"/>
            <w:shd w:val="clear" w:color="auto" w:fill="auto"/>
          </w:tcPr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</w:p>
        </w:tc>
        <w:tc>
          <w:tcPr>
            <w:tcW w:w="5920" w:type="dxa"/>
            <w:gridSpan w:val="3"/>
            <w:shd w:val="clear" w:color="auto" w:fill="auto"/>
          </w:tcPr>
          <w:p>
            <w:pPr>
              <w:ind w:firstLine="480" w:firstLineChars="200"/>
              <w:jc w:val="left"/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4、文化艺术</w:t>
            </w:r>
          </w:p>
          <w:p>
            <w:pPr>
              <w:ind w:firstLine="480" w:firstLineChars="200"/>
              <w:jc w:val="left"/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音乐：蒙古族四胡、马头琴、呼麦 　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舞蹈：蒙古族安代舞、达斡尔族鲁日格勒舞、一种以演述宗教经传故事为内容的面具舞—查玛、顶碗舞</w:t>
            </w:r>
          </w:p>
          <w:p>
            <w:pPr>
              <w:ind w:firstLine="480" w:firstLineChars="200"/>
              <w:jc w:val="left"/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民间艺术：牛皮方寸写丹青、剪纸、蒙古族刺绣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节庆名称： 那达慕大会</w:t>
            </w:r>
          </w:p>
          <w:p>
            <w:pPr>
              <w:ind w:firstLine="480" w:firstLineChars="200"/>
              <w:jc w:val="left"/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活动特色： 最初带有宗教色彩，意在通过祭“敖包”，祈求吉祥幸福，同时也举办一些体育活动，后来演变成那达慕大会。</w:t>
            </w:r>
          </w:p>
          <w:p>
            <w:pPr>
              <w:ind w:firstLine="480" w:firstLineChars="200"/>
              <w:jc w:val="left"/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t>祭敖包是蒙古族最普遍的祭祀活动，多在7、8月份举行。在蒙古族人民心中，敖包是神圣的净地。</w:t>
            </w:r>
          </w:p>
        </w:tc>
        <w:tc>
          <w:tcPr>
            <w:tcW w:w="3743" w:type="dxa"/>
            <w:gridSpan w:val="2"/>
            <w:shd w:val="clear" w:color="auto" w:fill="auto"/>
          </w:tcPr>
          <w:p>
            <w:pPr>
              <w:ind w:firstLine="480"/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3、特色民族舞蹈</w:t>
            </w:r>
          </w:p>
          <w:p>
            <w:pPr>
              <w:ind w:left="0" w:leftChars="0" w:firstLine="0" w:firstLineChars="0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drawing>
                <wp:inline distT="0" distB="0" distL="114300" distR="114300">
                  <wp:extent cx="2233930" cy="1417320"/>
                  <wp:effectExtent l="0" t="0" r="13970" b="11430"/>
                  <wp:docPr id="5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3930" cy="1417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2" w:type="dxa"/>
            <w:gridSpan w:val="2"/>
            <w:shd w:val="clear" w:color="auto" w:fill="auto"/>
          </w:tcPr>
          <w:p>
            <w:pPr>
              <w:ind w:firstLine="480" w:firstLineChars="200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4、中国文化艺术种类繁多，对于中华民族的民族自豪感油然产生。</w:t>
            </w:r>
          </w:p>
          <w:p>
            <w:pP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drawing>
                <wp:inline distT="0" distB="0" distL="114300" distR="114300">
                  <wp:extent cx="1875790" cy="1069340"/>
                  <wp:effectExtent l="0" t="0" r="10160" b="16510"/>
                  <wp:docPr id="6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5790" cy="1069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1233" w:type="dxa"/>
            <w:vMerge w:val="continue"/>
            <w:shd w:val="clear" w:color="auto" w:fill="auto"/>
          </w:tcPr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</w:p>
        </w:tc>
        <w:tc>
          <w:tcPr>
            <w:tcW w:w="5920" w:type="dxa"/>
            <w:gridSpan w:val="3"/>
            <w:shd w:val="clear" w:color="auto" w:fill="auto"/>
          </w:tcPr>
          <w:p>
            <w:pPr>
              <w:ind w:firstLine="480" w:firstLineChars="200"/>
              <w:jc w:val="left"/>
              <w:rPr>
                <w:rFonts w:hint="eastAsia" w:ascii="宋体" w:hAnsi="宋体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</w:rPr>
              <w:t>、特产与美食</w:t>
            </w:r>
          </w:p>
          <w:p>
            <w:pPr>
              <w:ind w:firstLine="480" w:firstLineChars="200"/>
              <w:jc w:val="left"/>
              <w:rPr>
                <w:rFonts w:hint="eastAsia" w:ascii="宋体" w:hAnsi="宋体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</w:rPr>
              <w:t xml:space="preserve">“金杯、银杯斟满洒，双手举过头；炒米、奶茶、手扒肉，请你吃个够。”一首祝酒歌，就是对蒙古族饮食文化的最精确概括！ </w:t>
            </w:r>
          </w:p>
          <w:p>
            <w:pPr>
              <w:ind w:firstLine="480" w:firstLineChars="200"/>
              <w:jc w:val="left"/>
              <w:rPr>
                <w:rFonts w:hint="eastAsia" w:ascii="宋体" w:hAnsi="宋体" w:eastAsia="宋体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</w:rPr>
              <w:t>奶茶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eastAsia="zh-CN"/>
              </w:rPr>
              <w:t>、蒙古馅饼、蒙古包子、羊杂、蒙古血肠、烤全羊、涮羊肉</w:t>
            </w:r>
          </w:p>
          <w:p>
            <w:pPr>
              <w:ind w:firstLine="420" w:firstLineChars="200"/>
              <w:jc w:val="left"/>
              <w:rPr>
                <w:rFonts w:hint="eastAsia" w:ascii="宋体" w:hAnsi="宋体" w:eastAsia="宋体" w:cs="Times New Roman"/>
                <w:bCs/>
                <w:sz w:val="24"/>
                <w:szCs w:val="24"/>
                <w:lang w:eastAsia="zh-CN"/>
              </w:rPr>
            </w:pPr>
            <w:r>
              <w:drawing>
                <wp:inline distT="0" distB="0" distL="114300" distR="114300">
                  <wp:extent cx="2789555" cy="1763395"/>
                  <wp:effectExtent l="0" t="0" r="10795" b="8255"/>
                  <wp:docPr id="165892" name="Picture 5" descr="a713c3431bf34260a0c20ed60ebaa7ff_t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892" name="Picture 5" descr="a713c3431bf34260a0c20ed60ebaa7ff_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9555" cy="1763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43" w:type="dxa"/>
            <w:gridSpan w:val="2"/>
            <w:shd w:val="clear" w:color="auto" w:fill="auto"/>
          </w:tcPr>
          <w:p>
            <w:pPr>
              <w:numPr>
                <w:ilvl w:val="0"/>
                <w:numId w:val="0"/>
              </w:numPr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5、问题三：太行三珍——核桃、柿子、花椒</w:t>
            </w:r>
            <w:r>
              <w:rPr>
                <w:rFonts w:hint="eastAsia" w:ascii="Calibri" w:hAnsi="Calibri" w:eastAsia="宋体" w:cs="Times New Roman"/>
                <w:b/>
                <w:bCs/>
                <w:color w:val="FF0000"/>
                <w:sz w:val="24"/>
                <w:szCs w:val="24"/>
                <w:lang w:val="en-US" w:eastAsia="zh-CN"/>
              </w:rPr>
              <w:t>手机弹幕</w:t>
            </w:r>
          </w:p>
          <w:p>
            <w:pPr>
              <w:ind w:left="0" w:leftChars="0" w:firstLine="0" w:firstLineChars="0"/>
              <w:rPr>
                <w:rFonts w:hint="default" w:ascii="Calibri" w:hAnsi="Calibri" w:eastAsia="宋体" w:cs="Times New Roman"/>
                <w:szCs w:val="24"/>
                <w:lang w:val="en-US" w:eastAsia="zh-CN"/>
              </w:rPr>
            </w:pPr>
          </w:p>
        </w:tc>
        <w:tc>
          <w:tcPr>
            <w:tcW w:w="3182" w:type="dxa"/>
            <w:gridSpan w:val="2"/>
            <w:shd w:val="clear" w:color="auto" w:fill="auto"/>
          </w:tcPr>
          <w:p>
            <w:pPr>
              <w:ind w:firstLine="480" w:firstLineChars="200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5、中国特产指中国某地特有的或特别著名的产品，有文化内涵或历史，质量高，数量多，满足国民的物质需求。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1233" w:type="dxa"/>
            <w:vMerge w:val="continue"/>
            <w:shd w:val="clear" w:color="auto" w:fill="auto"/>
          </w:tcPr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</w:p>
        </w:tc>
        <w:tc>
          <w:tcPr>
            <w:tcW w:w="5920" w:type="dxa"/>
            <w:gridSpan w:val="3"/>
            <w:shd w:val="clear" w:color="auto" w:fill="auto"/>
          </w:tcPr>
          <w:p>
            <w:pPr>
              <w:ind w:firstLine="480" w:firstLineChars="200"/>
              <w:jc w:val="left"/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6、旅游概况</w:t>
            </w:r>
          </w:p>
          <w:p>
            <w:pPr>
              <w:ind w:firstLine="480" w:firstLineChars="200"/>
              <w:jc w:val="left"/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instrText xml:space="preserve"> HYPERLINK "https://baike.baidu.com/item/%E5%91%BC%E4%BC%A6%E8%B4%9D%E5%B0%94%E5%A4%A7%E8%8D%89%E5%8E%9F/16036111?fromModule=lemma_inlink" \t "https://baike.baidu.com/item/%E5%86%85%E8%92%99%E5%8F%A4%E8%87%AA%E6%B2%BB%E5%8C%BA/_blank" </w:instrText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t>呼伦贝尔大草原</w:t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t>：中国保存最完好的草原，总面积一亿四千九百万亩，有“牧草王国”之称。6月-9月是呼伦贝尔大草原的最佳旅游季，尤其7、8月间大草原牧草茂盛，适合在大草原腹地骑马、垂钓，或在西部的</w:t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instrText xml:space="preserve"> HYPERLINK "https://baike.baidu.com/item/%E5%91%BC%E4%BC%A6%E6%B9%96/825655?fromModule=lemma_inlink" \t "https://baike.baidu.com/item/%E5%86%85%E8%92%99%E5%8F%A4%E8%87%AA%E6%B2%BB%E5%8C%BA/_blank" </w:instrText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t>呼伦湖</w:t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t>上泛舟。</w:t>
            </w:r>
          </w:p>
          <w:p>
            <w:pPr>
              <w:ind w:firstLine="480" w:firstLineChars="200"/>
              <w:jc w:val="left"/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instrText xml:space="preserve"> HYPERLINK "https://baike.baidu.com/item/%E5%93%8D%E6%B2%99%E6%B9%BE/785751?fromModule=lemma_inlink" \t "https://baike.baidu.com/item/%E5%86%85%E8%92%99%E5%8F%A4%E8%87%AA%E6%B2%BB%E5%8C%BA/_blank" </w:instrText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t>响沙湾</w:t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t>：地处鄂尔多斯达拉特旗境内，以沙漠景观和响沙奇观为主要特色，此外，还有沙湖、沙地绿洲、蒙古族风情等景观。响沙湾是一个弯形沙坡，背依苍茫大漠，面临大川，高度近百米，沙坡斜度为45度，宽度400多米。</w:t>
            </w:r>
          </w:p>
          <w:p>
            <w:pPr>
              <w:ind w:firstLine="480" w:firstLineChars="200"/>
              <w:jc w:val="left"/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instrText xml:space="preserve"> HYPERLINK "https://baike.baidu.com/item/%E9%81%93%E9%A1%BB%E6%B2%9F/685001?fromModule=lemma_inlink" \t "https://baike.baidu.com/item/%E5%86%85%E8%92%99%E5%8F%A4%E8%87%AA%E6%B2%BB%E5%8C%BA/_blank" </w:instrText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t>道须沟</w:t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t>：位于宁城县黑里河国家自然保护区，有“塞外西双版纳”之称。</w:t>
            </w:r>
          </w:p>
          <w:p>
            <w:pPr>
              <w:ind w:firstLine="480" w:firstLineChars="200"/>
              <w:jc w:val="left"/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instrText xml:space="preserve"> HYPERLINK "https://baike.baidu.com/item/%E8%85%BE%E6%A0%BC%E9%87%8C%E6%B2%99%E6%BC%A0/1681257?fromModule=lemma_inlink" \t "https://baike.baidu.com/item/%E5%86%85%E8%92%99%E5%8F%A4%E8%87%AA%E6%B2%BB%E5%8C%BA/_blank" </w:instrText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t>腾格里沙漠</w:t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t>：中国第四大沙漠，蒙古语为天，意为茫茫流沙如渺无边际的天空。沙漠内部，沙丘、湖盆、盐沼、草滩、山地及平原交错分布。腾格里沙漠中还分布着数百个存留数千万年的原生态湖泊，包括</w:t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instrText xml:space="preserve"> HYPERLINK "https://baike.baidu.com/item/%E6%9C%88%E4%BA%AE%E6%B9%96/2044938?fromModule=lemma_inlink" \t "https://baike.baidu.com/item/%E5%86%85%E8%92%99%E5%8F%A4%E8%87%AA%E6%B2%BB%E5%8C%BA/_blank" </w:instrText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t>月亮湖</w:t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t>和</w:t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instrText xml:space="preserve"> HYPERLINK "https://baike.baidu.com/item/%E5%A4%A9%E9%B9%85%E6%B9%96/9306624?fromModule=lemma_inlink" \t "https://baike.baidu.com/item/%E5%86%85%E8%92%99%E5%8F%A4%E8%87%AA%E6%B2%BB%E5%8C%BA/_blank" </w:instrText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t>天鹅湖</w:t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t>（居延海）。</w:t>
            </w:r>
          </w:p>
          <w:p>
            <w:pPr>
              <w:ind w:left="0" w:leftChars="0" w:firstLine="0" w:firstLineChars="0"/>
              <w:jc w:val="left"/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drawing>
                <wp:inline distT="0" distB="0" distL="114300" distR="114300">
                  <wp:extent cx="4191000" cy="2781300"/>
                  <wp:effectExtent l="0" t="0" r="0" b="0"/>
                  <wp:docPr id="7" name="图片 4" descr="IMG_256">
                    <a:hlinkClick xmlns:a="http://schemas.openxmlformats.org/drawingml/2006/main" r:id="rId11" tooltip="二连浩特市门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4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0" cy="278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二连浩特市门</w:t>
            </w:r>
          </w:p>
          <w:p>
            <w:pPr>
              <w:ind w:firstLine="480" w:firstLineChars="200"/>
              <w:jc w:val="left"/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instrText xml:space="preserve"> HYPERLINK "https://baike.baidu.com/item/%E6%B5%B7%E6%8B%89%E5%B0%94%E5%9B%BD%E5%AE%B6%E6%A3%AE%E6%9E%97%E5%85%AC%E5%9B%AD/3491246?fromModule=lemma_inlink" \t "https://baike.baidu.com/item/%E5%86%85%E8%92%99%E5%8F%A4%E8%87%AA%E6%B2%BB%E5%8C%BA/_blank" </w:instrText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t>海拉尔国家森林公园</w:t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  <w:t>：早在清代就因被列为呼伦贝尔八景之一，因沙埠古松而著名。是中国以樟子松为主体的国家级森林公园。</w:t>
            </w:r>
          </w:p>
          <w:p>
            <w:pPr>
              <w:ind w:firstLine="480" w:firstLineChars="200"/>
              <w:jc w:val="left"/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743" w:type="dxa"/>
            <w:gridSpan w:val="2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6、问题三：学生回答是什么？手机弹幕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成吉思汗陵</w:t>
            </w:r>
            <w:r>
              <w:rPr>
                <w:rFonts w:hint="eastAsia"/>
                <w:lang w:val="en-US" w:eastAsia="zh-CN"/>
              </w:rPr>
              <w:t>、</w:t>
            </w:r>
            <w:r>
              <w:rPr>
                <w:rFonts w:hint="default"/>
                <w:lang w:val="en-US" w:eastAsia="zh-CN"/>
              </w:rPr>
              <w:t>昭君墓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textAlignment w:val="auto"/>
              <w:rPr>
                <w:rFonts w:hint="eastAsia"/>
              </w:rPr>
            </w:pPr>
            <w:r>
              <w:drawing>
                <wp:inline distT="0" distB="0" distL="114300" distR="114300">
                  <wp:extent cx="2095500" cy="1571625"/>
                  <wp:effectExtent l="0" t="0" r="0" b="9525"/>
                  <wp:docPr id="8" name="图片 5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5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00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eastAsia" w:ascii="Calibri" w:hAnsi="Calibri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2095500" cy="1285875"/>
                  <wp:effectExtent l="0" t="0" r="0" b="9525"/>
                  <wp:docPr id="9" name="图片 6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6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00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"/>
              <w:ind w:left="0" w:leftChars="0" w:firstLine="0" w:firstLineChars="0"/>
              <w:rPr>
                <w:rFonts w:hint="eastAsia"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3182" w:type="dxa"/>
            <w:gridSpan w:val="2"/>
            <w:shd w:val="clear" w:color="auto" w:fill="auto"/>
          </w:tcPr>
          <w:p>
            <w:pPr>
              <w:ind w:firstLine="480" w:firstLineChars="200"/>
              <w:jc w:val="left"/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6、爱祖国的灿烂文化、爱自己的国家，为实现中华民族伟大复兴的中国梦而努力。</w:t>
            </w:r>
          </w:p>
          <w:p>
            <w:pPr>
              <w:ind w:firstLine="480" w:firstLineChars="200"/>
              <w:jc w:val="left"/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蓝天白云下的内蒙古大草原是个极富魅力的地方，是国内外人士理想的旅游观光胜地。近年来，随着旅游业的迅速发展，来内蒙古草原上旅游观光的中外游客与日俱增。“天苍苍，野茫茫”的古老而神奇的大自然正敞开宽广的胸怀等候着八方来客，热情好客的内蒙古各族人民举起金杯迎候着来自世界各地的朋友们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6" w:hRule="atLeast"/>
        </w:trPr>
        <w:tc>
          <w:tcPr>
            <w:tcW w:w="1233" w:type="dxa"/>
            <w:shd w:val="clear" w:color="auto" w:fill="auto"/>
          </w:tcPr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、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  <w:lang w:val="en-US" w:eastAsia="zh-CN"/>
              </w:rPr>
              <w:t>课堂小结，布置作业</w:t>
            </w:r>
          </w:p>
          <w:p>
            <w:pPr>
              <w:rPr>
                <w:rFonts w:hint="eastAsia" w:ascii="楷体" w:hAnsi="楷体" w:eastAsia="楷体" w:cs="楷体"/>
                <w:szCs w:val="24"/>
              </w:rPr>
            </w:pPr>
          </w:p>
        </w:tc>
        <w:tc>
          <w:tcPr>
            <w:tcW w:w="5920" w:type="dxa"/>
            <w:gridSpan w:val="3"/>
            <w:shd w:val="clear" w:color="auto" w:fill="auto"/>
          </w:tcPr>
          <w:p>
            <w:pPr>
              <w:ind w:firstLine="480" w:firstLineChars="200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总结本次课所学内容，请同学说下，内蒙古主要文化旅游资源有哪些。</w:t>
            </w:r>
          </w:p>
          <w:p>
            <w:pPr>
              <w:ind w:firstLine="480" w:firstLineChars="200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布置作业：回去后，预习山西；</w:t>
            </w:r>
          </w:p>
          <w:p>
            <w:pPr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结束课堂：</w:t>
            </w:r>
          </w:p>
          <w:p>
            <w:pPr>
              <w:ind w:firstLine="480" w:firstLineChars="200"/>
              <w:jc w:val="left"/>
              <w:rPr>
                <w:rFonts w:hint="eastAsia" w:ascii="宋体" w:hAnsi="宋体" w:eastAsia="宋体" w:cs="Times New Roman"/>
                <w:bCs/>
                <w:sz w:val="24"/>
                <w:szCs w:val="24"/>
              </w:rPr>
            </w:pPr>
          </w:p>
        </w:tc>
        <w:tc>
          <w:tcPr>
            <w:tcW w:w="3743" w:type="dxa"/>
            <w:gridSpan w:val="2"/>
            <w:shd w:val="clear" w:color="auto" w:fill="auto"/>
          </w:tcPr>
          <w:p>
            <w:pPr>
              <w:ind w:firstLine="480" w:firstLineChars="200"/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思考老师问题，并积极回答。下课后，认真练习，相互交流和切磋。</w:t>
            </w:r>
          </w:p>
          <w:p>
            <w:pPr>
              <w:ind w:firstLine="480"/>
              <w:rPr>
                <w:rFonts w:hint="eastAsia"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3182" w:type="dxa"/>
            <w:gridSpan w:val="2"/>
            <w:shd w:val="clear" w:color="auto" w:fill="auto"/>
          </w:tcPr>
          <w:p>
            <w:pPr>
              <w:ind w:firstLine="480" w:firstLineChars="200"/>
              <w:rPr>
                <w:rFonts w:hint="eastAsia" w:ascii="Calibri" w:hAnsi="Calibri" w:eastAsia="宋体" w:cs="Times New Roman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hint="eastAsia" w:ascii="Calibri" w:hAnsi="Calibri" w:eastAsia="宋体" w:cs="Times New Roman"/>
                <w:bCs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hint="eastAsia" w:ascii="Calibri" w:hAnsi="Calibri" w:eastAsia="宋体" w:cs="Times New Roman"/>
                <w:bCs/>
                <w:sz w:val="24"/>
                <w:szCs w:val="24"/>
              </w:rPr>
            </w:pPr>
          </w:p>
        </w:tc>
      </w:tr>
    </w:tbl>
    <w:p>
      <w:pPr>
        <w:spacing w:line="500" w:lineRule="exact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500" w:lineRule="exact"/>
        <w:ind w:firstLine="480" w:firstLineChars="200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sectPr>
          <w:pgSz w:w="16838" w:h="11906" w:orient="landscape"/>
          <w:pgMar w:top="1701" w:right="1418" w:bottom="1418" w:left="1418" w:header="851" w:footer="992" w:gutter="0"/>
          <w:cols w:space="425" w:num="1"/>
          <w:docGrid w:type="lines" w:linePitch="312" w:charSpace="0"/>
        </w:sectPr>
      </w:pPr>
    </w:p>
    <w:p>
      <w:pPr>
        <w:pStyle w:val="2"/>
      </w:pPr>
    </w:p>
    <w:p>
      <w:pPr>
        <w:pStyle w:val="2"/>
      </w:pPr>
    </w:p>
    <w:sectPr>
      <w:footerReference r:id="rId5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napToGrid w:val="0"/>
      <w:jc w:val="left"/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</w:pPr>
    <w:r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widowControl w:val="0"/>
                            <w:snapToGrid w:val="0"/>
                            <w:jc w:val="left"/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</w:pP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t>3</w:t>
                          </w: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bxmbQxAgAAY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hMmzLGz1&#10;zvIIHeXxdnUMkDOpHEXplEB34gGzl/rU70kc7j/PKerx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G8Zm0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widowControl w:val="0"/>
                      <w:snapToGrid w:val="0"/>
                      <w:jc w:val="left"/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</w:pP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t>3</w:t>
                    </w: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napToGrid w:val="0"/>
      <w:jc w:val="left"/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</w:pPr>
    <w:r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widowControl w:val="0"/>
                            <w:snapToGrid w:val="0"/>
                            <w:jc w:val="left"/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</w:pP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t>3</w:t>
                          </w: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SJGuwyAgAAY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jB5loWN&#10;3loeoaM83i4PAXImlaMonRLoTjxg9lKfLnsSh/vPc4p6+m9YPA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NIka7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widowControl w:val="0"/>
                      <w:snapToGrid w:val="0"/>
                      <w:jc w:val="left"/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</w:pP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t>3</w:t>
                    </w: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94A513"/>
    <w:multiLevelType w:val="singleLevel"/>
    <w:tmpl w:val="AF94A51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MxYzQ1YmI5NzdmMWYyNWEyYzM0ODljYjcwNWY0MzYifQ=="/>
  </w:docVars>
  <w:rsids>
    <w:rsidRoot w:val="00750B6B"/>
    <w:rsid w:val="000D311C"/>
    <w:rsid w:val="002179A0"/>
    <w:rsid w:val="0038748C"/>
    <w:rsid w:val="006240BC"/>
    <w:rsid w:val="00750B6B"/>
    <w:rsid w:val="008E68AA"/>
    <w:rsid w:val="009D4F87"/>
    <w:rsid w:val="00B56FE4"/>
    <w:rsid w:val="00CB789A"/>
    <w:rsid w:val="00DF7241"/>
    <w:rsid w:val="00E54D24"/>
    <w:rsid w:val="00ED23A0"/>
    <w:rsid w:val="01490A86"/>
    <w:rsid w:val="02EE3993"/>
    <w:rsid w:val="032D650E"/>
    <w:rsid w:val="03FB5C0A"/>
    <w:rsid w:val="058C5C3D"/>
    <w:rsid w:val="059D2EC5"/>
    <w:rsid w:val="067610D2"/>
    <w:rsid w:val="07AD3233"/>
    <w:rsid w:val="09116625"/>
    <w:rsid w:val="09CE3AAA"/>
    <w:rsid w:val="0ABA073F"/>
    <w:rsid w:val="12FC3297"/>
    <w:rsid w:val="17DB2585"/>
    <w:rsid w:val="19523206"/>
    <w:rsid w:val="19894BF4"/>
    <w:rsid w:val="1E9A27FE"/>
    <w:rsid w:val="248D42C2"/>
    <w:rsid w:val="27BF3329"/>
    <w:rsid w:val="280A0C2F"/>
    <w:rsid w:val="2BA40C7F"/>
    <w:rsid w:val="2F5236DC"/>
    <w:rsid w:val="2F5A74B3"/>
    <w:rsid w:val="2FEC14A4"/>
    <w:rsid w:val="31815A44"/>
    <w:rsid w:val="32EB5A64"/>
    <w:rsid w:val="33887C9E"/>
    <w:rsid w:val="35951A65"/>
    <w:rsid w:val="3828064F"/>
    <w:rsid w:val="3B0125B5"/>
    <w:rsid w:val="3C5A4AF4"/>
    <w:rsid w:val="43FA3C0F"/>
    <w:rsid w:val="440910F8"/>
    <w:rsid w:val="445124F6"/>
    <w:rsid w:val="470D6E20"/>
    <w:rsid w:val="472A4528"/>
    <w:rsid w:val="4B0E5CB7"/>
    <w:rsid w:val="4EB3049E"/>
    <w:rsid w:val="4F7D4521"/>
    <w:rsid w:val="50A867A1"/>
    <w:rsid w:val="53367F96"/>
    <w:rsid w:val="5451487A"/>
    <w:rsid w:val="596F3246"/>
    <w:rsid w:val="5AB67EAC"/>
    <w:rsid w:val="5D2A7AA3"/>
    <w:rsid w:val="5D4E7BB9"/>
    <w:rsid w:val="5D911DB3"/>
    <w:rsid w:val="5E8E2980"/>
    <w:rsid w:val="60545FFD"/>
    <w:rsid w:val="62C13297"/>
    <w:rsid w:val="64942E6C"/>
    <w:rsid w:val="67521809"/>
    <w:rsid w:val="6BC964B1"/>
    <w:rsid w:val="6BE56AA0"/>
    <w:rsid w:val="6BF74A33"/>
    <w:rsid w:val="6F706F3D"/>
    <w:rsid w:val="702E5FBB"/>
    <w:rsid w:val="72421BD8"/>
    <w:rsid w:val="74C52793"/>
    <w:rsid w:val="750005B2"/>
    <w:rsid w:val="75812F99"/>
    <w:rsid w:val="76125D96"/>
    <w:rsid w:val="775E3A30"/>
    <w:rsid w:val="7AC35E02"/>
    <w:rsid w:val="7B19339C"/>
    <w:rsid w:val="7D4C0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  <w:rPr>
      <w:rFonts w:ascii="Times New Roman" w:hAnsi="Times New Roman"/>
      <w:color w:val="000000"/>
      <w:kern w:val="0"/>
      <w:szCs w:val="21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3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hyperlink" Target="https://baike.baidu.com/pic/&#229;&#134;&#133;&#232;&#146;&#153;&#229;&#143;&#164;&#232;&#135;&#170;&#230;&#178;&#187;&#229;&#140;&#186;/49872215/0/5fdf8db1cb134954b74b0e30594e9258d1094a09?fr=lemma%26fromModule=lemma_content-image%26ct=single" TargetMode="External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11</Pages>
  <Words>3816</Words>
  <Characters>3891</Characters>
  <Lines>27</Lines>
  <Paragraphs>29</Paragraphs>
  <TotalTime>12</TotalTime>
  <ScaleCrop>false</ScaleCrop>
  <LinksUpToDate>false</LinksUpToDate>
  <CharactersWithSpaces>3921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2022-10-20T09:32:00Z</dcterms:created>
  <dc:creator>Zhou</dc:creator>
  <cp:lastModifiedBy>文若</cp:lastModifiedBy>
  <cp:lastPrinted>2022-11-22T02:23:00Z</cp:lastPrinted>
  <dcterms:modified xsi:type="dcterms:W3CDTF">2023-03-27T11:25:41Z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3623EE22060846F59FFF629FAB4EBD5B</vt:lpwstr>
  </property>
</Properties>
</file>